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1D" w:rsidRPr="00F6461D" w:rsidRDefault="00F6461D" w:rsidP="00F6461D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9"/>
          <w:szCs w:val="29"/>
          <w:lang w:eastAsia="ru-RU"/>
        </w:rPr>
      </w:pPr>
      <w:proofErr w:type="spellStart"/>
      <w:r w:rsidRPr="00F6461D">
        <w:rPr>
          <w:rFonts w:ascii="Tahoma" w:eastAsia="Times New Roman" w:hAnsi="Tahoma" w:cs="Tahoma"/>
          <w:b/>
          <w:bCs/>
          <w:color w:val="000000"/>
          <w:kern w:val="36"/>
          <w:sz w:val="29"/>
          <w:szCs w:val="29"/>
          <w:lang w:eastAsia="ru-RU"/>
        </w:rPr>
        <w:t>Стеклосетка</w:t>
      </w:r>
      <w:proofErr w:type="spellEnd"/>
      <w:r w:rsidRPr="00F6461D">
        <w:rPr>
          <w:rFonts w:ascii="Tahoma" w:eastAsia="Times New Roman" w:hAnsi="Tahoma" w:cs="Tahoma"/>
          <w:b/>
          <w:bCs/>
          <w:color w:val="000000"/>
          <w:kern w:val="36"/>
          <w:sz w:val="29"/>
          <w:szCs w:val="29"/>
          <w:lang w:eastAsia="ru-RU"/>
        </w:rPr>
        <w:t xml:space="preserve"> фасадная </w:t>
      </w:r>
      <w:proofErr w:type="spellStart"/>
      <w:r w:rsidRPr="00F6461D">
        <w:rPr>
          <w:rFonts w:ascii="Tahoma" w:eastAsia="Times New Roman" w:hAnsi="Tahoma" w:cs="Tahoma"/>
          <w:b/>
          <w:bCs/>
          <w:color w:val="000000"/>
          <w:kern w:val="36"/>
          <w:sz w:val="29"/>
          <w:szCs w:val="29"/>
          <w:lang w:eastAsia="ru-RU"/>
        </w:rPr>
        <w:t>Wand</w:t>
      </w:r>
      <w:proofErr w:type="spellEnd"/>
      <w:r w:rsidRPr="00F6461D">
        <w:rPr>
          <w:rFonts w:ascii="Tahoma" w:eastAsia="Times New Roman" w:hAnsi="Tahoma" w:cs="Tahoma"/>
          <w:b/>
          <w:bCs/>
          <w:color w:val="000000"/>
          <w:kern w:val="36"/>
          <w:sz w:val="29"/>
          <w:szCs w:val="29"/>
          <w:lang w:eastAsia="ru-RU"/>
        </w:rPr>
        <w:t xml:space="preserve"> </w:t>
      </w:r>
      <w:proofErr w:type="spellStart"/>
      <w:r w:rsidRPr="00F6461D">
        <w:rPr>
          <w:rFonts w:ascii="Tahoma" w:eastAsia="Times New Roman" w:hAnsi="Tahoma" w:cs="Tahoma"/>
          <w:b/>
          <w:bCs/>
          <w:color w:val="000000"/>
          <w:kern w:val="36"/>
          <w:sz w:val="29"/>
          <w:szCs w:val="29"/>
          <w:lang w:eastAsia="ru-RU"/>
        </w:rPr>
        <w:t>Master</w:t>
      </w:r>
      <w:proofErr w:type="spellEnd"/>
      <w:r w:rsidRPr="00F6461D">
        <w:rPr>
          <w:rFonts w:ascii="Tahoma" w:eastAsia="Times New Roman" w:hAnsi="Tahoma" w:cs="Tahoma"/>
          <w:b/>
          <w:bCs/>
          <w:color w:val="000000"/>
          <w:kern w:val="36"/>
          <w:sz w:val="29"/>
          <w:szCs w:val="29"/>
          <w:lang w:eastAsia="ru-RU"/>
        </w:rPr>
        <w:t xml:space="preserve"> 170г/м</w:t>
      </w:r>
      <w:proofErr w:type="gramStart"/>
      <w:r w:rsidRPr="00F6461D">
        <w:rPr>
          <w:rFonts w:ascii="Tahoma" w:eastAsia="Times New Roman" w:hAnsi="Tahoma" w:cs="Tahoma"/>
          <w:b/>
          <w:bCs/>
          <w:color w:val="000000"/>
          <w:kern w:val="36"/>
          <w:sz w:val="29"/>
          <w:szCs w:val="29"/>
          <w:lang w:eastAsia="ru-RU"/>
        </w:rPr>
        <w:t>2</w:t>
      </w:r>
      <w:proofErr w:type="gramEnd"/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F6461D" w:rsidRPr="00F6461D">
        <w:trPr>
          <w:tblCellSpacing w:w="0" w:type="dxa"/>
        </w:trPr>
        <w:tc>
          <w:tcPr>
            <w:tcW w:w="0" w:type="auto"/>
            <w:hideMark/>
          </w:tcPr>
          <w:p w:rsidR="00F6461D" w:rsidRPr="00F6461D" w:rsidRDefault="00F6461D" w:rsidP="00F646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2857500" cy="1019175"/>
                  <wp:effectExtent l="19050" t="0" r="0" b="0"/>
                  <wp:docPr id="1" name="Рисунок 1" descr="http://tutteplo.ru/images/Logo_wand_m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tteplo.ru/images/Logo_wand_m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Портал теплоизоляции  </w:t>
      </w:r>
      <w:hyperlink r:id="rId5" w:history="1">
        <w:r w:rsidRPr="00F6461D">
          <w:rPr>
            <w:rFonts w:ascii="Tahoma" w:eastAsia="Times New Roman" w:hAnsi="Tahoma" w:cs="Tahoma"/>
            <w:color w:val="02569C"/>
            <w:sz w:val="15"/>
            <w:u w:val="single"/>
            <w:lang w:eastAsia="ru-RU"/>
          </w:rPr>
          <w:t>www.tutteplo.tu</w:t>
        </w:r>
      </w:hyperlink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представляет - Сетки стеклотканевые армирующие фасадные </w:t>
      </w:r>
      <w:proofErr w:type="spellStart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Wand</w:t>
      </w:r>
      <w:proofErr w:type="spellEnd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Masater</w:t>
      </w:r>
      <w:proofErr w:type="spellEnd"/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  <w:proofErr w:type="spellStart"/>
      <w:r w:rsidRPr="00F6461D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Стеклосетка</w:t>
      </w:r>
      <w:proofErr w:type="spellEnd"/>
      <w:r w:rsidRPr="00F6461D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фасадная </w:t>
      </w:r>
      <w:proofErr w:type="spellStart"/>
      <w:r w:rsidRPr="00F6461D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Wand</w:t>
      </w:r>
      <w:proofErr w:type="spellEnd"/>
      <w:r w:rsidRPr="00F6461D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</w:t>
      </w:r>
      <w:proofErr w:type="spellStart"/>
      <w:r w:rsidRPr="00F6461D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Masater</w:t>
      </w:r>
      <w:proofErr w:type="spellEnd"/>
      <w:r w:rsidRPr="00F6461D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170г/м</w:t>
      </w:r>
      <w:proofErr w:type="gramStart"/>
      <w:r w:rsidRPr="00F6461D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2</w:t>
      </w:r>
      <w:proofErr w:type="gramEnd"/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080"/>
      </w:tblGrid>
      <w:tr w:rsidR="00F6461D" w:rsidRPr="00F6461D">
        <w:trPr>
          <w:tblCellSpacing w:w="0" w:type="dxa"/>
        </w:trPr>
        <w:tc>
          <w:tcPr>
            <w:tcW w:w="0" w:type="auto"/>
            <w:hideMark/>
          </w:tcPr>
          <w:p w:rsidR="00F6461D" w:rsidRPr="00F6461D" w:rsidRDefault="00F6461D" w:rsidP="00F646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2514600" cy="2952750"/>
                  <wp:effectExtent l="19050" t="0" r="0" b="0"/>
                  <wp:docPr id="2" name="Рисунок 2" descr="http://tutteplo.ru/images/Steklosetka_Wand_M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utteplo.ru/images/Steklosetka_Wand_M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Сетка фасадная WAND MASTER применяется для армирования поверхности при проведении фасадных штукатурных работ, для защиты от образования и расползания трещин, в системах теплоизоляции «мокрый фасад» и пр.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Преимущества </w:t>
      </w:r>
      <w:hyperlink r:id="rId7" w:tgtFrame="_blank" w:tooltip="Характеристики стеклосетки для мокрого фасада" w:history="1">
        <w:r w:rsidRPr="00F6461D">
          <w:rPr>
            <w:rFonts w:ascii="Calibri" w:eastAsia="Times New Roman" w:hAnsi="Calibri" w:cs="Tahoma"/>
            <w:color w:val="02569C"/>
            <w:sz w:val="15"/>
            <w:u w:val="single"/>
            <w:lang w:eastAsia="ru-RU"/>
          </w:rPr>
          <w:t>высококачественной фасадной сетки WAND MASTER</w:t>
        </w:r>
      </w:hyperlink>
      <w:r w:rsidRPr="00F6461D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: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защищает поверхность от образования трещин в штукатурном слое при любых климатических условиях;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   сетка обработана специальным полимерным составом, благодаря чему она особо устойчива к воздействию щелочей в условиях повышенной     влажности;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имеет высокую сопротивляемость к разрывам и растяжениям;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не ржавеет и не разлагается с течением времени;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не выделяет вредных веществ;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способствует преодолению внутренних напряжений внутри штукатурного слоя, вызываемых резкими перепадами температуры или влажности;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проста</w:t>
      </w:r>
      <w:proofErr w:type="gramEnd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обращении и применении.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Фасадная стеклотканевая сетка является одним из важнейших элементов в штукатурной фасадной системе.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Условно систему теплоизоляции зданий «мокрый» фасад можно разделить на 3 составляющих: утеплитель и завершающий декоративный слой, между которыми находится армирующий слой, в состав которого и входит стеклотканевая фасадная сетка.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Фасадные сетки, применяемые в штукатурных системах должны иметь соответствующие разрешительные документы. Если был выбран некачественный элемент армирующего слоя, не имеющий должного </w:t>
      </w:r>
      <w:proofErr w:type="spellStart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щелочезащитного</w:t>
      </w:r>
      <w:proofErr w:type="spellEnd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показателя, то через несколько лет после возведения «мокрого фасада» возможно обрушение всего декоративного покрытия.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На фасадную сетку </w:t>
      </w:r>
      <w:proofErr w:type="spellStart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Wand</w:t>
      </w:r>
      <w:proofErr w:type="spellEnd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Master</w:t>
      </w:r>
      <w:proofErr w:type="spellEnd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было получено </w:t>
      </w:r>
      <w:hyperlink r:id="rId8" w:tgtFrame="_blank" w:tooltip="Стеклосетка для фасадов Техническое свидетельство" w:history="1">
        <w:r w:rsidRPr="00F6461D">
          <w:rPr>
            <w:rFonts w:ascii="Tahoma" w:eastAsia="Times New Roman" w:hAnsi="Tahoma" w:cs="Tahoma"/>
            <w:color w:val="02569C"/>
            <w:sz w:val="15"/>
            <w:u w:val="single"/>
            <w:lang w:eastAsia="ru-RU"/>
          </w:rPr>
          <w:t xml:space="preserve">Техническое Свидетельство на </w:t>
        </w:r>
        <w:proofErr w:type="spellStart"/>
        <w:r w:rsidRPr="00F6461D">
          <w:rPr>
            <w:rFonts w:ascii="Tahoma" w:eastAsia="Times New Roman" w:hAnsi="Tahoma" w:cs="Tahoma"/>
            <w:color w:val="02569C"/>
            <w:sz w:val="15"/>
            <w:u w:val="single"/>
            <w:lang w:eastAsia="ru-RU"/>
          </w:rPr>
          <w:t>стеклосетку</w:t>
        </w:r>
        <w:proofErr w:type="spellEnd"/>
        <w:r w:rsidRPr="00F6461D">
          <w:rPr>
            <w:rFonts w:ascii="Tahoma" w:eastAsia="Times New Roman" w:hAnsi="Tahoma" w:cs="Tahoma"/>
            <w:color w:val="02569C"/>
            <w:sz w:val="15"/>
            <w:u w:val="single"/>
            <w:lang w:eastAsia="ru-RU"/>
          </w:rPr>
          <w:t xml:space="preserve"> для фасадов</w:t>
        </w:r>
      </w:hyperlink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выданное Федеральным агентством по строительству и жилищно-коммунальному хозяйству (Госстрой)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Размер ячейки – 4 </w:t>
      </w:r>
      <w:proofErr w:type="spellStart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х</w:t>
      </w:r>
      <w:proofErr w:type="spellEnd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4 мм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Масса на единицу площади, 170 ±10 г/м</w:t>
      </w:r>
      <w:proofErr w:type="gramStart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2</w:t>
      </w:r>
      <w:proofErr w:type="gramEnd"/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Ширина – 1000 мм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Длина – 50 м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Сетка предназначена для армирования штукатурных и защитно-декоративных покрытий наружных поверхностей зданий и сооружений различного назначения, в т.ч. в фасадных теплоизоляционных композиционных системах с тонким наружным штукатурным слоем (8-12 мм). Фасадные сетки </w:t>
      </w:r>
      <w:proofErr w:type="spellStart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Wand</w:t>
      </w:r>
      <w:proofErr w:type="spellEnd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Master</w:t>
      </w:r>
      <w:proofErr w:type="spellEnd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могут применяться во всех климатических районах </w:t>
      </w:r>
      <w:proofErr w:type="gramStart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</w:t>
      </w:r>
      <w:proofErr w:type="gramEnd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</w:t>
      </w:r>
      <w:proofErr w:type="gramStart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зонах</w:t>
      </w:r>
      <w:proofErr w:type="gramEnd"/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влажности. 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F6461D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Стеклосетка</w:t>
      </w:r>
      <w:proofErr w:type="spellEnd"/>
      <w:r w:rsidRPr="00F6461D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фасадная </w:t>
      </w:r>
      <w:proofErr w:type="spellStart"/>
      <w:r w:rsidRPr="00F6461D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Wand</w:t>
      </w:r>
      <w:proofErr w:type="spellEnd"/>
      <w:r w:rsidRPr="00F6461D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</w:t>
      </w:r>
      <w:proofErr w:type="spellStart"/>
      <w:r w:rsidRPr="00F6461D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Masater</w:t>
      </w:r>
      <w:proofErr w:type="spellEnd"/>
      <w:r w:rsidRPr="00F6461D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160г/м</w:t>
      </w:r>
      <w:proofErr w:type="gramStart"/>
      <w:r w:rsidRPr="00F6461D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2</w:t>
      </w:r>
      <w:proofErr w:type="gramEnd"/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ТУ 5952-002-95532136-2010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080"/>
      </w:tblGrid>
      <w:tr w:rsidR="00F6461D" w:rsidRPr="00F6461D">
        <w:trPr>
          <w:tblCellSpacing w:w="0" w:type="dxa"/>
        </w:trPr>
        <w:tc>
          <w:tcPr>
            <w:tcW w:w="0" w:type="auto"/>
            <w:hideMark/>
          </w:tcPr>
          <w:p w:rsidR="00F6461D" w:rsidRPr="00F6461D" w:rsidRDefault="00F6461D" w:rsidP="00F646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lastRenderedPageBreak/>
              <w:drawing>
                <wp:inline distT="0" distB="0" distL="0" distR="0">
                  <wp:extent cx="2514600" cy="2952750"/>
                  <wp:effectExtent l="19050" t="0" r="0" b="0"/>
                  <wp:docPr id="3" name="Рисунок 3" descr="http://tutteplo.ru/images/Steklosetka_Wand_M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tteplo.ru/images/Steklosetka_Wand_M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61D" w:rsidRPr="00F6461D" w:rsidRDefault="00F6461D" w:rsidP="00F6461D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6461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A53701" w:rsidRDefault="00A53701"/>
    <w:p w:rsidR="00F6461D" w:rsidRDefault="00F6461D"/>
    <w:sectPr w:rsidR="00F6461D" w:rsidSect="00A5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61D"/>
    <w:rsid w:val="00A53701"/>
    <w:rsid w:val="00F6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01"/>
  </w:style>
  <w:style w:type="paragraph" w:styleId="1">
    <w:name w:val="heading 1"/>
    <w:basedOn w:val="a"/>
    <w:link w:val="10"/>
    <w:uiPriority w:val="9"/>
    <w:qFormat/>
    <w:rsid w:val="00F64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61D"/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F6461D"/>
    <w:rPr>
      <w:color w:val="02569C"/>
      <w:u w:val="single"/>
    </w:rPr>
  </w:style>
  <w:style w:type="character" w:styleId="a4">
    <w:name w:val="Strong"/>
    <w:basedOn w:val="a0"/>
    <w:uiPriority w:val="22"/>
    <w:qFormat/>
    <w:rsid w:val="00F6461D"/>
    <w:rPr>
      <w:b/>
      <w:bCs/>
    </w:rPr>
  </w:style>
  <w:style w:type="paragraph" w:styleId="a5">
    <w:name w:val="Normal (Web)"/>
    <w:basedOn w:val="a"/>
    <w:uiPriority w:val="99"/>
    <w:semiHidden/>
    <w:unhideWhenUsed/>
    <w:rsid w:val="00F6461D"/>
    <w:pPr>
      <w:spacing w:after="0" w:line="25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teplo.ru/files/0/7556772143021555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tteplo.ru/catalog/342/798/_aviewinfo_b252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tteplo.t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2015-05-06T05:46:00Z</dcterms:created>
  <dcterms:modified xsi:type="dcterms:W3CDTF">2015-05-06T05:47:00Z</dcterms:modified>
</cp:coreProperties>
</file>